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36" w:rsidRPr="00284524" w:rsidRDefault="007C6DB2">
      <w:pPr>
        <w:rPr>
          <w:sz w:val="28"/>
          <w:szCs w:val="28"/>
        </w:rPr>
      </w:pPr>
      <w:r w:rsidRPr="00284524">
        <w:rPr>
          <w:rFonts w:hint="eastAsia"/>
          <w:sz w:val="28"/>
          <w:szCs w:val="28"/>
        </w:rPr>
        <w:t>玩转数据库</w:t>
      </w:r>
      <w:r w:rsidRPr="00284524">
        <w:rPr>
          <w:rFonts w:hint="eastAsia"/>
          <w:sz w:val="28"/>
          <w:szCs w:val="28"/>
        </w:rPr>
        <w:t xml:space="preserve"> |</w:t>
      </w:r>
      <w:r w:rsidRPr="00284524">
        <w:rPr>
          <w:rFonts w:hint="eastAsia"/>
          <w:sz w:val="28"/>
          <w:szCs w:val="28"/>
        </w:rPr>
        <w:t>科研神器</w:t>
      </w:r>
      <w:proofErr w:type="spellStart"/>
      <w:r w:rsidRPr="00284524">
        <w:rPr>
          <w:rFonts w:hint="eastAsia"/>
          <w:sz w:val="28"/>
          <w:szCs w:val="28"/>
        </w:rPr>
        <w:t>SciFinder</w:t>
      </w:r>
      <w:proofErr w:type="spellEnd"/>
      <w:r w:rsidRPr="00284524">
        <w:rPr>
          <w:rFonts w:hint="eastAsia"/>
          <w:sz w:val="28"/>
          <w:szCs w:val="28"/>
        </w:rPr>
        <w:t>升级无并发啦！</w:t>
      </w:r>
    </w:p>
    <w:p w:rsidR="007C6DB2" w:rsidRDefault="00246B2A">
      <w:r>
        <w:rPr>
          <w:noProof/>
        </w:rPr>
        <w:drawing>
          <wp:inline distT="0" distB="0" distL="0" distR="0" wp14:anchorId="47A37494" wp14:editId="64BC22D6">
            <wp:extent cx="1257365" cy="74933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65" cy="7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6DB2" w:rsidRDefault="007C6DB2" w:rsidP="007C6DB2">
      <w:pPr>
        <w:pStyle w:val="a3"/>
        <w:spacing w:after="120" w:afterAutospacing="0"/>
      </w:pPr>
      <w:r>
        <w:rPr>
          <w:rStyle w:val="a4"/>
        </w:rPr>
        <w:t>一直受困并发数量限制的</w:t>
      </w:r>
      <w:proofErr w:type="spellStart"/>
      <w:r>
        <w:rPr>
          <w:rStyle w:val="a4"/>
        </w:rPr>
        <w:t>SciFinder</w:t>
      </w:r>
      <w:proofErr w:type="spellEnd"/>
      <w:r>
        <w:rPr>
          <w:rStyle w:val="a4"/>
        </w:rPr>
        <w:t>师生们，再也不用担心登录不上</w:t>
      </w:r>
      <w:proofErr w:type="spellStart"/>
      <w:r>
        <w:rPr>
          <w:rStyle w:val="a4"/>
        </w:rPr>
        <w:t>SciFinder</w:t>
      </w:r>
      <w:proofErr w:type="spellEnd"/>
      <w:r>
        <w:rPr>
          <w:rStyle w:val="a4"/>
        </w:rPr>
        <w:t>数据库了。升级后，该数据库为无并发用户限制，想什么时登录就什么时候登录，保证100%的登录率。</w:t>
      </w:r>
    </w:p>
    <w:p w:rsidR="007C6DB2" w:rsidRPr="00284524" w:rsidRDefault="007C6DB2" w:rsidP="007C6DB2">
      <w:pPr>
        <w:pStyle w:val="a3"/>
        <w:spacing w:after="120" w:afterAutospacing="0"/>
        <w:rPr>
          <w:sz w:val="21"/>
          <w:szCs w:val="21"/>
        </w:rPr>
      </w:pPr>
      <w:r w:rsidRPr="00284524">
        <w:rPr>
          <w:sz w:val="21"/>
          <w:szCs w:val="21"/>
        </w:rPr>
        <w:t>想在海量资源中精准筛选最切合研究课题的文献吗？</w:t>
      </w:r>
    </w:p>
    <w:p w:rsidR="007C6DB2" w:rsidRPr="00284524" w:rsidRDefault="007C6DB2" w:rsidP="007C6DB2">
      <w:pPr>
        <w:pStyle w:val="a3"/>
        <w:spacing w:after="120" w:afterAutospacing="0"/>
        <w:rPr>
          <w:sz w:val="21"/>
          <w:szCs w:val="21"/>
        </w:rPr>
      </w:pPr>
      <w:r w:rsidRPr="00284524">
        <w:rPr>
          <w:sz w:val="21"/>
          <w:szCs w:val="21"/>
        </w:rPr>
        <w:t>想高效确认技术空白和研究的创新性吗？想追踪关注领域的最新全球科技进展吗？</w:t>
      </w:r>
    </w:p>
    <w:p w:rsidR="007C6DB2" w:rsidRPr="00284524" w:rsidRDefault="007C6DB2" w:rsidP="007C6DB2">
      <w:pPr>
        <w:pStyle w:val="a3"/>
        <w:spacing w:after="120" w:afterAutospacing="0"/>
        <w:rPr>
          <w:sz w:val="21"/>
          <w:szCs w:val="21"/>
        </w:rPr>
      </w:pPr>
      <w:r w:rsidRPr="00284524">
        <w:rPr>
          <w:sz w:val="21"/>
          <w:szCs w:val="21"/>
        </w:rPr>
        <w:t>想借助先进算法和人工智能高效设计逆合成路线、启发合成新思路吗？</w:t>
      </w:r>
    </w:p>
    <w:p w:rsidR="007C6DB2" w:rsidRPr="00284524" w:rsidRDefault="007C6DB2" w:rsidP="007C6DB2">
      <w:pPr>
        <w:pStyle w:val="a3"/>
        <w:spacing w:after="120" w:afterAutospacing="0"/>
        <w:rPr>
          <w:sz w:val="21"/>
          <w:szCs w:val="21"/>
        </w:rPr>
      </w:pPr>
      <w:r w:rsidRPr="00284524">
        <w:rPr>
          <w:sz w:val="21"/>
          <w:szCs w:val="21"/>
        </w:rPr>
        <w:t>想在洋洋洒洒的论文中一眼抓住重要研究点吗？</w:t>
      </w:r>
    </w:p>
    <w:p w:rsidR="007C6DB2" w:rsidRPr="00284524" w:rsidRDefault="007C6DB2" w:rsidP="007C6DB2">
      <w:pPr>
        <w:pStyle w:val="a3"/>
        <w:spacing w:after="120" w:afterAutospacing="0"/>
        <w:rPr>
          <w:sz w:val="21"/>
          <w:szCs w:val="21"/>
        </w:rPr>
      </w:pPr>
      <w:r w:rsidRPr="00284524">
        <w:rPr>
          <w:sz w:val="21"/>
          <w:szCs w:val="21"/>
        </w:rPr>
        <w:t>想省下阅读全文的时间，直接获取能用于实操的合成方法或分析方法吗？</w:t>
      </w:r>
    </w:p>
    <w:p w:rsidR="007C6DB2" w:rsidRPr="00284524" w:rsidRDefault="007C6DB2" w:rsidP="007C6DB2">
      <w:pPr>
        <w:pStyle w:val="a3"/>
        <w:spacing w:after="120" w:afterAutospacing="0"/>
        <w:rPr>
          <w:sz w:val="21"/>
          <w:szCs w:val="21"/>
        </w:rPr>
      </w:pPr>
      <w:r w:rsidRPr="00284524">
        <w:rPr>
          <w:sz w:val="21"/>
          <w:szCs w:val="21"/>
        </w:rPr>
        <w:t xml:space="preserve">使用CAS </w:t>
      </w:r>
      <w:proofErr w:type="spellStart"/>
      <w:r w:rsidRPr="00284524">
        <w:rPr>
          <w:sz w:val="21"/>
          <w:szCs w:val="21"/>
        </w:rPr>
        <w:t>SciFinder</w:t>
      </w:r>
      <w:proofErr w:type="spellEnd"/>
      <w:r w:rsidRPr="00284524">
        <w:rPr>
          <w:sz w:val="21"/>
          <w:szCs w:val="21"/>
        </w:rPr>
        <w:t xml:space="preserve"> Discovery Platform (Academic)一</w:t>
      </w:r>
      <w:proofErr w:type="gramStart"/>
      <w:r w:rsidRPr="00284524">
        <w:rPr>
          <w:sz w:val="21"/>
          <w:szCs w:val="21"/>
        </w:rPr>
        <w:t>站满足</w:t>
      </w:r>
      <w:proofErr w:type="gramEnd"/>
      <w:r w:rsidRPr="00284524">
        <w:rPr>
          <w:sz w:val="21"/>
          <w:szCs w:val="21"/>
        </w:rPr>
        <w:t>你的检索需求，快来一睹为快吧。</w:t>
      </w:r>
    </w:p>
    <w:p w:rsidR="007C6DB2" w:rsidRPr="00284524" w:rsidRDefault="007C6DB2" w:rsidP="007C6DB2">
      <w:pPr>
        <w:pStyle w:val="a3"/>
        <w:rPr>
          <w:sz w:val="21"/>
          <w:szCs w:val="21"/>
        </w:rPr>
      </w:pPr>
      <w:r w:rsidRPr="00284524">
        <w:rPr>
          <w:sz w:val="21"/>
          <w:szCs w:val="21"/>
        </w:rPr>
        <w:t xml:space="preserve">CAS </w:t>
      </w:r>
      <w:proofErr w:type="spellStart"/>
      <w:r w:rsidRPr="00284524">
        <w:rPr>
          <w:sz w:val="21"/>
          <w:szCs w:val="21"/>
        </w:rPr>
        <w:t>SciFinder</w:t>
      </w:r>
      <w:proofErr w:type="spellEnd"/>
      <w:r w:rsidRPr="00284524">
        <w:rPr>
          <w:sz w:val="21"/>
          <w:szCs w:val="21"/>
        </w:rPr>
        <w:t xml:space="preserve"> Discovery Platform是由全球科学信息引领者CAS(美国化学文摘社)出品的新一代的权威科学研究工具，是化学及相关学科智能研究平台，提供全球全面、可靠的化学及相关学科研究信息和分析工具。我校已订购该平台资源，欢迎广大师生们访问使用！</w:t>
      </w:r>
    </w:p>
    <w:p w:rsidR="007C6DB2" w:rsidRDefault="007C6DB2" w:rsidP="007C6DB2">
      <w:pPr>
        <w:pStyle w:val="a3"/>
      </w:pPr>
      <w:r>
        <w:rPr>
          <w:b/>
          <w:bCs/>
        </w:rPr>
        <w:t>平台简介</w:t>
      </w:r>
    </w:p>
    <w:p w:rsidR="007C6DB2" w:rsidRPr="00284524" w:rsidRDefault="007C6DB2">
      <w:pPr>
        <w:rPr>
          <w:szCs w:val="21"/>
        </w:rPr>
      </w:pPr>
      <w:r w:rsidRPr="00284524">
        <w:rPr>
          <w:szCs w:val="21"/>
        </w:rPr>
        <w:t>CAS</w:t>
      </w:r>
      <w:r w:rsidRPr="00284524">
        <w:rPr>
          <w:szCs w:val="21"/>
        </w:rPr>
        <w:t>的国际科学家团队追踪全球科技进展，每日收录汇总、标引、管理着世界上的专利、科技期刊等内容，并通过</w:t>
      </w:r>
      <w:r w:rsidRPr="00284524">
        <w:rPr>
          <w:szCs w:val="21"/>
        </w:rPr>
        <w:t xml:space="preserve">CAS </w:t>
      </w:r>
      <w:proofErr w:type="spellStart"/>
      <w:r w:rsidRPr="00284524">
        <w:rPr>
          <w:szCs w:val="21"/>
        </w:rPr>
        <w:t>SciFinder</w:t>
      </w:r>
      <w:proofErr w:type="spellEnd"/>
      <w:r w:rsidRPr="00284524">
        <w:rPr>
          <w:szCs w:val="21"/>
        </w:rPr>
        <w:t xml:space="preserve"> Discovery Platform</w:t>
      </w:r>
      <w:r w:rsidRPr="00284524">
        <w:rPr>
          <w:szCs w:val="21"/>
        </w:rPr>
        <w:t>平台提供的先进检索技术高效揭示重要的技术信息，确保研究人员及时同步全球重要的研究进展。</w:t>
      </w:r>
    </w:p>
    <w:p w:rsidR="007C6DB2" w:rsidRPr="00284524" w:rsidRDefault="007C6DB2" w:rsidP="007C6DB2">
      <w:pPr>
        <w:pStyle w:val="a3"/>
        <w:rPr>
          <w:sz w:val="21"/>
          <w:szCs w:val="21"/>
        </w:rPr>
      </w:pPr>
      <w:r w:rsidRPr="00284524">
        <w:rPr>
          <w:sz w:val="21"/>
          <w:szCs w:val="21"/>
        </w:rPr>
        <w:t>平台涵盖180多个国家、50多种语言出版的文献及64家专利授权机构的专利，覆盖了多学科、跨学科的科技信息，如化学、生物、医药、材料、食品、应用化学、化学工程、农学、高分子、物理等；收录的文献类型包括期刊、专利、会议论文、学位论文、图书、技术报告、评论、预印本和网络资源等。</w:t>
      </w:r>
    </w:p>
    <w:p w:rsidR="007C6DB2" w:rsidRDefault="007C6DB2">
      <w:pPr>
        <w:rPr>
          <w:b/>
        </w:rPr>
      </w:pPr>
      <w:r w:rsidRPr="007C6DB2">
        <w:rPr>
          <w:b/>
        </w:rPr>
        <w:t>平台解决方案</w:t>
      </w:r>
    </w:p>
    <w:p w:rsidR="00284524" w:rsidRPr="00D82373" w:rsidRDefault="00284524" w:rsidP="00284524">
      <w:pPr>
        <w:pStyle w:val="a5"/>
        <w:snapToGrid w:val="0"/>
        <w:spacing w:line="276" w:lineRule="auto"/>
        <w:ind w:left="0" w:right="-181"/>
        <w:jc w:val="both"/>
        <w:rPr>
          <w:rFonts w:ascii="Arial" w:hAnsi="Arial" w:cs="Arial"/>
          <w:sz w:val="20"/>
          <w:szCs w:val="20"/>
          <w:lang w:eastAsia="zh-CN"/>
        </w:rPr>
      </w:pPr>
      <w:r w:rsidRPr="00BC0444">
        <w:rPr>
          <w:rFonts w:ascii="Arial" w:hAnsi="Arial" w:cs="Arial" w:hint="eastAsia"/>
          <w:sz w:val="20"/>
          <w:szCs w:val="20"/>
          <w:lang w:eastAsia="zh-CN"/>
        </w:rPr>
        <w:t xml:space="preserve">CAS </w:t>
      </w:r>
      <w:proofErr w:type="spellStart"/>
      <w:r w:rsidRPr="00BC0444">
        <w:rPr>
          <w:rFonts w:ascii="Arial" w:hAnsi="Arial" w:cs="Arial" w:hint="eastAsia"/>
          <w:sz w:val="20"/>
          <w:szCs w:val="20"/>
          <w:lang w:eastAsia="zh-CN"/>
        </w:rPr>
        <w:t>SciFinder</w:t>
      </w:r>
      <w:proofErr w:type="spellEnd"/>
      <w:r w:rsidRPr="00BC0444">
        <w:rPr>
          <w:rFonts w:ascii="Arial" w:hAnsi="Arial" w:cs="Arial" w:hint="eastAsia"/>
          <w:sz w:val="20"/>
          <w:szCs w:val="20"/>
          <w:lang w:eastAsia="zh-CN"/>
        </w:rPr>
        <w:t xml:space="preserve"> Discovery Platform</w:t>
      </w:r>
      <w:r w:rsidRPr="00BC0444">
        <w:rPr>
          <w:rFonts w:ascii="Arial" w:hAnsi="Arial" w:cs="Arial"/>
          <w:sz w:val="20"/>
          <w:szCs w:val="20"/>
          <w:lang w:eastAsia="zh-CN"/>
        </w:rPr>
        <w:t xml:space="preserve"> </w:t>
      </w:r>
      <w:r>
        <w:rPr>
          <w:rFonts w:ascii="Arial" w:hAnsi="Arial" w:cs="Arial" w:hint="eastAsia"/>
          <w:sz w:val="20"/>
          <w:szCs w:val="20"/>
          <w:lang w:eastAsia="zh-CN"/>
        </w:rPr>
        <w:t>包括以下</w:t>
      </w:r>
      <w:r w:rsidRPr="00BC0444">
        <w:rPr>
          <w:rFonts w:ascii="Arial" w:hAnsi="Arial" w:cs="Arial" w:hint="eastAsia"/>
          <w:sz w:val="20"/>
          <w:szCs w:val="20"/>
          <w:lang w:eastAsia="zh-CN"/>
        </w:rPr>
        <w:t>三个解决方案，支持</w:t>
      </w:r>
      <w:proofErr w:type="gramStart"/>
      <w:r w:rsidRPr="00BC0444">
        <w:rPr>
          <w:rFonts w:ascii="Arial" w:hAnsi="Arial" w:cs="Arial" w:hint="eastAsia"/>
          <w:sz w:val="20"/>
          <w:szCs w:val="20"/>
          <w:lang w:eastAsia="zh-CN"/>
        </w:rPr>
        <w:t>研发全</w:t>
      </w:r>
      <w:proofErr w:type="gramEnd"/>
      <w:r w:rsidRPr="00BC0444">
        <w:rPr>
          <w:rFonts w:ascii="Arial" w:hAnsi="Arial" w:cs="Arial" w:hint="eastAsia"/>
          <w:sz w:val="20"/>
          <w:szCs w:val="20"/>
          <w:lang w:eastAsia="zh-CN"/>
        </w:rPr>
        <w:t>流程</w:t>
      </w:r>
      <w:r>
        <w:rPr>
          <w:rFonts w:ascii="Arial" w:hAnsi="Arial" w:cs="Arial" w:hint="eastAsia"/>
          <w:sz w:val="20"/>
          <w:szCs w:val="20"/>
          <w:lang w:eastAsia="zh-CN"/>
        </w:rPr>
        <w:t>：</w:t>
      </w:r>
    </w:p>
    <w:p w:rsidR="00284524" w:rsidRPr="00D82373" w:rsidRDefault="00284524" w:rsidP="00284524">
      <w:pPr>
        <w:spacing w:line="276" w:lineRule="auto"/>
        <w:rPr>
          <w:color w:val="000000" w:themeColor="text1"/>
        </w:rPr>
      </w:pPr>
      <w:r w:rsidRPr="00D82373">
        <w:rPr>
          <w:color w:val="000000" w:themeColor="text1"/>
        </w:rPr>
        <w:t xml:space="preserve">1. </w:t>
      </w:r>
      <w:r w:rsidRPr="00D82373">
        <w:rPr>
          <w:rFonts w:hint="eastAsia"/>
          <w:color w:val="000000" w:themeColor="text1"/>
        </w:rPr>
        <w:t>C</w:t>
      </w:r>
      <w:r w:rsidRPr="00D82373">
        <w:rPr>
          <w:color w:val="000000" w:themeColor="text1"/>
        </w:rPr>
        <w:t xml:space="preserve">AS </w:t>
      </w:r>
      <w:proofErr w:type="spellStart"/>
      <w:r w:rsidRPr="00D82373">
        <w:rPr>
          <w:color w:val="000000" w:themeColor="text1"/>
        </w:rPr>
        <w:t>SciFinder</w:t>
      </w:r>
      <w:r w:rsidRPr="00D82373">
        <w:rPr>
          <w:color w:val="000000" w:themeColor="text1"/>
          <w:vertAlign w:val="superscript"/>
        </w:rPr>
        <w:t>n</w:t>
      </w:r>
      <w:proofErr w:type="spellEnd"/>
      <w:r w:rsidRPr="00E645C6">
        <w:rPr>
          <w:rFonts w:asciiTheme="majorEastAsia" w:eastAsiaTheme="majorEastAsia" w:hAnsiTheme="majorEastAsia"/>
          <w:color w:val="000000" w:themeColor="text1"/>
        </w:rPr>
        <w:t>——</w:t>
      </w:r>
      <w:r w:rsidRPr="00D82373">
        <w:rPr>
          <w:rFonts w:hint="eastAsia"/>
          <w:color w:val="000000" w:themeColor="text1"/>
        </w:rPr>
        <w:t>加速科学发现的业界领先的科学工具</w:t>
      </w:r>
    </w:p>
    <w:p w:rsidR="00284524" w:rsidRPr="00384D26" w:rsidRDefault="00284524" w:rsidP="00284524">
      <w:pPr>
        <w:pStyle w:val="a5"/>
        <w:snapToGrid w:val="0"/>
        <w:spacing w:line="276" w:lineRule="auto"/>
        <w:ind w:left="0" w:right="-18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>业界最领先的相关性搜索引擎，</w:t>
      </w:r>
      <w:r w:rsidRPr="00AB056E">
        <w:rPr>
          <w:rFonts w:ascii="Arial" w:hAnsi="Arial" w:cs="Arial" w:hint="eastAsia"/>
          <w:sz w:val="20"/>
          <w:szCs w:val="20"/>
          <w:lang w:eastAsia="zh-CN"/>
        </w:rPr>
        <w:t>提供和化学相关的各学科的文献、物质、反应和生物序列等检索内容，检索智能、高效、简单</w:t>
      </w:r>
      <w:r>
        <w:rPr>
          <w:rFonts w:ascii="Arial" w:hAnsi="Arial" w:cs="Arial" w:hint="eastAsia"/>
          <w:sz w:val="20"/>
          <w:szCs w:val="20"/>
          <w:lang w:eastAsia="zh-CN"/>
        </w:rPr>
        <w:t>。</w:t>
      </w:r>
      <w:r w:rsidRPr="00384D26">
        <w:rPr>
          <w:rFonts w:ascii="Arial" w:hAnsi="Arial" w:cs="Arial" w:hint="eastAsia"/>
          <w:sz w:val="20"/>
          <w:szCs w:val="20"/>
          <w:lang w:eastAsia="zh-CN"/>
        </w:rPr>
        <w:t>可用于基金申请的文献准备、为新课题制定实验计划、寻求学术合作者、进行逆合成分析以及更多其他的教学和科研活动。</w:t>
      </w:r>
    </w:p>
    <w:p w:rsidR="00284524" w:rsidRDefault="00284524" w:rsidP="00284524">
      <w:pPr>
        <w:pStyle w:val="a5"/>
        <w:snapToGrid w:val="0"/>
        <w:spacing w:line="276" w:lineRule="auto"/>
        <w:ind w:left="0" w:right="-180"/>
        <w:rPr>
          <w:rFonts w:ascii="Arial" w:hAnsi="Arial" w:cs="Arial"/>
          <w:sz w:val="20"/>
          <w:szCs w:val="20"/>
          <w:lang w:eastAsia="zh-CN"/>
        </w:rPr>
      </w:pPr>
    </w:p>
    <w:p w:rsidR="00284524" w:rsidRPr="00BB2DA2" w:rsidRDefault="00284524" w:rsidP="00284524">
      <w:pPr>
        <w:spacing w:line="276" w:lineRule="auto"/>
        <w:rPr>
          <w:color w:val="000000" w:themeColor="text1"/>
        </w:rPr>
      </w:pPr>
      <w:r w:rsidRPr="00BB2DA2">
        <w:rPr>
          <w:color w:val="000000" w:themeColor="text1"/>
        </w:rPr>
        <w:lastRenderedPageBreak/>
        <w:t xml:space="preserve">2. </w:t>
      </w:r>
      <w:r w:rsidRPr="00BB2DA2">
        <w:rPr>
          <w:rFonts w:hint="eastAsia"/>
          <w:color w:val="000000" w:themeColor="text1"/>
        </w:rPr>
        <w:t>C</w:t>
      </w:r>
      <w:r w:rsidRPr="00BB2DA2">
        <w:rPr>
          <w:color w:val="000000" w:themeColor="text1"/>
        </w:rPr>
        <w:t>AS Analytical Methods</w:t>
      </w:r>
      <w:r w:rsidRPr="00F2228C">
        <w:rPr>
          <w:rFonts w:asciiTheme="majorEastAsia" w:eastAsiaTheme="majorEastAsia" w:hAnsiTheme="majorEastAsia"/>
          <w:color w:val="000000" w:themeColor="text1"/>
        </w:rPr>
        <w:t>——</w:t>
      </w:r>
      <w:r w:rsidRPr="00BB2DA2">
        <w:rPr>
          <w:color w:val="000000" w:themeColor="text1"/>
        </w:rPr>
        <w:t>借助</w:t>
      </w:r>
      <w:r w:rsidRPr="00BB2DA2">
        <w:rPr>
          <w:rFonts w:hint="eastAsia"/>
          <w:color w:val="000000" w:themeColor="text1"/>
        </w:rPr>
        <w:t>C</w:t>
      </w:r>
      <w:r w:rsidRPr="00BB2DA2">
        <w:rPr>
          <w:color w:val="000000" w:themeColor="text1"/>
        </w:rPr>
        <w:t>AS</w:t>
      </w:r>
      <w:r w:rsidRPr="00BB2DA2">
        <w:rPr>
          <w:rFonts w:hint="eastAsia"/>
          <w:color w:val="000000" w:themeColor="text1"/>
        </w:rPr>
        <w:t>科学家深度加工的科学方法，提升研究效率</w:t>
      </w:r>
    </w:p>
    <w:p w:rsidR="00284524" w:rsidRPr="00D55D74" w:rsidRDefault="00284524" w:rsidP="00284524">
      <w:pPr>
        <w:spacing w:line="276" w:lineRule="auto"/>
        <w:rPr>
          <w:rFonts w:ascii="Arial" w:hAnsi="Arial" w:cs="Arial"/>
          <w:sz w:val="20"/>
          <w:szCs w:val="20"/>
        </w:rPr>
      </w:pPr>
      <w:r w:rsidRPr="00BB2DA2">
        <w:rPr>
          <w:rFonts w:hint="eastAsia"/>
          <w:color w:val="000000" w:themeColor="text1"/>
        </w:rPr>
        <w:t>分析方法解决方案</w:t>
      </w:r>
      <w:r w:rsidRPr="00D55D74">
        <w:rPr>
          <w:rFonts w:ascii="Arial" w:hAnsi="Arial" w:cs="Arial" w:hint="eastAsia"/>
          <w:sz w:val="20"/>
          <w:szCs w:val="20"/>
        </w:rPr>
        <w:t>涵盖来自期刊中的化学分析方法，</w:t>
      </w:r>
      <w:bookmarkStart w:id="1" w:name="_Hlk123632549"/>
      <w:r w:rsidRPr="00D55D74">
        <w:rPr>
          <w:rFonts w:ascii="Arial" w:hAnsi="Arial" w:cs="Arial" w:hint="eastAsia"/>
          <w:sz w:val="20"/>
          <w:szCs w:val="20"/>
        </w:rPr>
        <w:t>提供检索和对比功能，可快速获得能直接在实验室操作的分析方法。</w:t>
      </w:r>
      <w:bookmarkEnd w:id="1"/>
      <w:r w:rsidRPr="00D55D74">
        <w:rPr>
          <w:rFonts w:ascii="Arial" w:hAnsi="Arial" w:cs="Arial" w:hint="eastAsia"/>
          <w:sz w:val="20"/>
          <w:szCs w:val="20"/>
        </w:rPr>
        <w:t>可为法医学、食品科学、农学、制药、环境等学科的教学和实验提供帮助。</w:t>
      </w:r>
    </w:p>
    <w:p w:rsidR="00284524" w:rsidRPr="00BB2DA2" w:rsidRDefault="00284524" w:rsidP="00284524">
      <w:pPr>
        <w:spacing w:line="276" w:lineRule="auto"/>
        <w:rPr>
          <w:color w:val="000000" w:themeColor="text1"/>
        </w:rPr>
      </w:pPr>
      <w:r w:rsidRPr="00BB2DA2">
        <w:rPr>
          <w:color w:val="000000" w:themeColor="text1"/>
        </w:rPr>
        <w:t xml:space="preserve">3. </w:t>
      </w:r>
      <w:r w:rsidRPr="00BB2DA2">
        <w:rPr>
          <w:rFonts w:hint="eastAsia"/>
          <w:color w:val="000000" w:themeColor="text1"/>
        </w:rPr>
        <w:t>C</w:t>
      </w:r>
      <w:r w:rsidRPr="00BB2DA2">
        <w:rPr>
          <w:color w:val="000000" w:themeColor="text1"/>
        </w:rPr>
        <w:t xml:space="preserve">AS </w:t>
      </w:r>
      <w:proofErr w:type="spellStart"/>
      <w:r w:rsidRPr="00BB2DA2">
        <w:rPr>
          <w:rFonts w:hint="eastAsia"/>
          <w:color w:val="000000" w:themeColor="text1"/>
        </w:rPr>
        <w:t>For</w:t>
      </w:r>
      <w:r w:rsidRPr="00BB2DA2">
        <w:rPr>
          <w:color w:val="000000" w:themeColor="text1"/>
        </w:rPr>
        <w:t>mulus</w:t>
      </w:r>
      <w:proofErr w:type="spellEnd"/>
      <w:r w:rsidRPr="00F2228C">
        <w:rPr>
          <w:rFonts w:asciiTheme="majorEastAsia" w:eastAsiaTheme="majorEastAsia" w:hAnsiTheme="majorEastAsia"/>
          <w:color w:val="000000" w:themeColor="text1"/>
        </w:rPr>
        <w:t>——</w:t>
      </w:r>
      <w:r w:rsidRPr="00BB2DA2">
        <w:rPr>
          <w:color w:val="000000" w:themeColor="text1"/>
        </w:rPr>
        <w:t>助力</w:t>
      </w:r>
      <w:r w:rsidRPr="00BB2DA2">
        <w:rPr>
          <w:rFonts w:hint="eastAsia"/>
          <w:color w:val="000000" w:themeColor="text1"/>
        </w:rPr>
        <w:t>开发安全、有效的产品</w:t>
      </w:r>
    </w:p>
    <w:p w:rsidR="00284524" w:rsidRDefault="00284524" w:rsidP="00284524">
      <w:pPr>
        <w:pStyle w:val="a5"/>
        <w:snapToGrid w:val="0"/>
        <w:spacing w:line="276" w:lineRule="auto"/>
        <w:ind w:left="0" w:right="-18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>集成配方（制剂）数据与工作流程的解决方案，</w:t>
      </w:r>
      <w:r w:rsidRPr="00BC0444">
        <w:rPr>
          <w:rFonts w:ascii="Arial" w:hAnsi="Arial" w:cs="Arial" w:hint="eastAsia"/>
          <w:sz w:val="20"/>
          <w:szCs w:val="20"/>
          <w:lang w:eastAsia="zh-CN"/>
        </w:rPr>
        <w:t>提供来自期刊</w:t>
      </w:r>
      <w:r>
        <w:rPr>
          <w:rFonts w:ascii="Arial" w:hAnsi="Arial" w:cs="Arial" w:hint="eastAsia"/>
          <w:sz w:val="20"/>
          <w:szCs w:val="20"/>
          <w:lang w:eastAsia="zh-CN"/>
        </w:rPr>
        <w:t>、</w:t>
      </w:r>
      <w:r w:rsidRPr="00BC0444">
        <w:rPr>
          <w:rFonts w:ascii="Arial" w:hAnsi="Arial" w:cs="Arial" w:hint="eastAsia"/>
          <w:sz w:val="20"/>
          <w:szCs w:val="20"/>
          <w:lang w:eastAsia="zh-CN"/>
        </w:rPr>
        <w:t>专利和产品说明中的配方详情</w:t>
      </w:r>
      <w:r>
        <w:rPr>
          <w:rFonts w:ascii="Arial" w:hAnsi="Arial" w:cs="Arial" w:hint="eastAsia"/>
          <w:sz w:val="20"/>
          <w:szCs w:val="20"/>
          <w:lang w:eastAsia="zh-CN"/>
        </w:rPr>
        <w:t>。可检索制药、化妆品、食品、农化、化妆品、油墨、涂料等众多领域中的配方，及其工艺、成分、目标成分的常见配伍成分、设计配方、和探索合</w:t>
      </w:r>
      <w:proofErr w:type="gramStart"/>
      <w:r>
        <w:rPr>
          <w:rFonts w:ascii="Arial" w:hAnsi="Arial" w:cs="Arial" w:hint="eastAsia"/>
          <w:sz w:val="20"/>
          <w:szCs w:val="20"/>
          <w:lang w:eastAsia="zh-CN"/>
        </w:rPr>
        <w:t>规</w:t>
      </w:r>
      <w:proofErr w:type="gramEnd"/>
      <w:r>
        <w:rPr>
          <w:rFonts w:ascii="Arial" w:hAnsi="Arial" w:cs="Arial" w:hint="eastAsia"/>
          <w:sz w:val="20"/>
          <w:szCs w:val="20"/>
          <w:lang w:eastAsia="zh-CN"/>
        </w:rPr>
        <w:t>要求等。</w:t>
      </w:r>
    </w:p>
    <w:p w:rsidR="007C6DB2" w:rsidRPr="00284524" w:rsidRDefault="007C6DB2"/>
    <w:p w:rsidR="007C6DB2" w:rsidRDefault="007C6DB2">
      <w:pPr>
        <w:rPr>
          <w:b/>
        </w:rPr>
      </w:pPr>
      <w:r w:rsidRPr="007C6DB2">
        <w:rPr>
          <w:b/>
        </w:rPr>
        <w:t>平台特色</w:t>
      </w:r>
    </w:p>
    <w:p w:rsidR="00284524" w:rsidRPr="00284524" w:rsidRDefault="00284524" w:rsidP="00284524">
      <w:pPr>
        <w:pStyle w:val="a6"/>
        <w:numPr>
          <w:ilvl w:val="0"/>
          <w:numId w:val="1"/>
        </w:numPr>
        <w:tabs>
          <w:tab w:val="left" w:pos="270"/>
        </w:tabs>
        <w:adjustRightInd w:val="0"/>
        <w:snapToGrid w:val="0"/>
        <w:spacing w:line="360" w:lineRule="auto"/>
        <w:ind w:right="235"/>
        <w:rPr>
          <w:rFonts w:asciiTheme="minorEastAsia" w:hAnsiTheme="minorEastAsia" w:cs="Arial"/>
          <w:spacing w:val="-4"/>
          <w:sz w:val="20"/>
          <w:szCs w:val="20"/>
        </w:rPr>
      </w:pPr>
      <w:r w:rsidRPr="00284524">
        <w:rPr>
          <w:rFonts w:asciiTheme="minorEastAsia" w:hAnsiTheme="minorEastAsia" w:cs="Arial"/>
          <w:spacing w:val="-4"/>
          <w:sz w:val="20"/>
          <w:szCs w:val="20"/>
        </w:rPr>
        <w:t>CAS Lexicon</w:t>
      </w:r>
      <w:r w:rsidRPr="00284524">
        <w:rPr>
          <w:rFonts w:asciiTheme="minorEastAsia" w:hAnsiTheme="minorEastAsia" w:cs="Arial" w:hint="eastAsia"/>
          <w:spacing w:val="-4"/>
          <w:sz w:val="20"/>
          <w:szCs w:val="20"/>
        </w:rPr>
        <w:t>：</w:t>
      </w:r>
      <w:r w:rsidRPr="00284524">
        <w:rPr>
          <w:rFonts w:asciiTheme="minorEastAsia" w:hAnsiTheme="minorEastAsia" w:cs="Arial"/>
          <w:spacing w:val="-4"/>
          <w:sz w:val="20"/>
          <w:szCs w:val="20"/>
        </w:rPr>
        <w:t>CAS 信息科学</w:t>
      </w:r>
      <w:proofErr w:type="gramStart"/>
      <w:r w:rsidRPr="00284524">
        <w:rPr>
          <w:rFonts w:asciiTheme="minorEastAsia" w:hAnsiTheme="minorEastAsia" w:cs="Arial"/>
          <w:spacing w:val="-4"/>
          <w:sz w:val="20"/>
          <w:szCs w:val="20"/>
        </w:rPr>
        <w:t>家创建</w:t>
      </w:r>
      <w:proofErr w:type="gramEnd"/>
      <w:r w:rsidRPr="00284524">
        <w:rPr>
          <w:rFonts w:asciiTheme="minorEastAsia" w:hAnsiTheme="minorEastAsia" w:cs="Arial"/>
          <w:spacing w:val="-4"/>
          <w:sz w:val="20"/>
          <w:szCs w:val="20"/>
        </w:rPr>
        <w:t>的叙词表，用以建立数据间的关联</w:t>
      </w:r>
      <w:r w:rsidRPr="00284524">
        <w:rPr>
          <w:rFonts w:asciiTheme="minorEastAsia" w:hAnsiTheme="minorEastAsia" w:cs="Arial" w:hint="eastAsia"/>
          <w:spacing w:val="-4"/>
          <w:sz w:val="20"/>
          <w:szCs w:val="20"/>
        </w:rPr>
        <w:t>，</w:t>
      </w:r>
      <w:r w:rsidRPr="00284524">
        <w:rPr>
          <w:rFonts w:asciiTheme="minorEastAsia" w:hAnsiTheme="minorEastAsia" w:cs="Arial"/>
          <w:spacing w:val="-4"/>
          <w:sz w:val="20"/>
          <w:szCs w:val="20"/>
        </w:rPr>
        <w:t>形成独特的 CAS 知识图谱，提高了信息检索的效率和精准性。</w:t>
      </w:r>
    </w:p>
    <w:p w:rsidR="00284524" w:rsidRPr="00284524" w:rsidRDefault="00284524" w:rsidP="00284524">
      <w:pPr>
        <w:pStyle w:val="a6"/>
        <w:numPr>
          <w:ilvl w:val="0"/>
          <w:numId w:val="1"/>
        </w:numPr>
        <w:tabs>
          <w:tab w:val="left" w:pos="270"/>
        </w:tabs>
        <w:adjustRightInd w:val="0"/>
        <w:snapToGrid w:val="0"/>
        <w:spacing w:line="360" w:lineRule="auto"/>
        <w:ind w:right="235"/>
        <w:rPr>
          <w:rFonts w:asciiTheme="minorEastAsia" w:hAnsiTheme="minorEastAsia" w:cs="Arial"/>
          <w:spacing w:val="-4"/>
          <w:sz w:val="20"/>
          <w:szCs w:val="20"/>
        </w:rPr>
      </w:pPr>
      <w:r w:rsidRPr="00284524">
        <w:rPr>
          <w:rFonts w:asciiTheme="minorEastAsia" w:hAnsiTheme="minorEastAsia" w:cs="Arial"/>
          <w:spacing w:val="-4"/>
          <w:sz w:val="20"/>
          <w:szCs w:val="20"/>
        </w:rPr>
        <w:t>CAS Role</w:t>
      </w:r>
      <w:r w:rsidRPr="00284524">
        <w:rPr>
          <w:rFonts w:asciiTheme="minorEastAsia" w:hAnsiTheme="minorEastAsia" w:cs="Arial" w:hint="eastAsia"/>
          <w:spacing w:val="-4"/>
          <w:sz w:val="20"/>
          <w:szCs w:val="20"/>
        </w:rPr>
        <w:t>：</w:t>
      </w:r>
      <w:r w:rsidRPr="00284524">
        <w:rPr>
          <w:rFonts w:asciiTheme="minorEastAsia" w:hAnsiTheme="minorEastAsia" w:cs="Arial"/>
          <w:spacing w:val="-4"/>
          <w:sz w:val="20"/>
          <w:szCs w:val="20"/>
        </w:rPr>
        <w:t>CAS 信息科学家根据文献原文中研究信息，为物质研究，如用途、制备、工艺等所分配的代码，旨在提高物质检索的效率和精准性。</w:t>
      </w:r>
    </w:p>
    <w:p w:rsidR="00284524" w:rsidRPr="008925CC" w:rsidRDefault="00284524" w:rsidP="00284524">
      <w:pPr>
        <w:pStyle w:val="a6"/>
        <w:numPr>
          <w:ilvl w:val="0"/>
          <w:numId w:val="1"/>
        </w:numPr>
        <w:tabs>
          <w:tab w:val="left" w:pos="270"/>
        </w:tabs>
        <w:adjustRightInd w:val="0"/>
        <w:snapToGrid w:val="0"/>
        <w:spacing w:line="360" w:lineRule="auto"/>
        <w:ind w:right="235"/>
      </w:pPr>
      <w:r w:rsidRPr="008925CC">
        <w:rPr>
          <w:rFonts w:asciiTheme="minorEastAsia" w:hAnsiTheme="minorEastAsia" w:cs="Arial" w:hint="eastAsia"/>
          <w:spacing w:val="-4"/>
          <w:sz w:val="20"/>
          <w:szCs w:val="20"/>
        </w:rPr>
        <w:t>CAS</w:t>
      </w:r>
      <w:r w:rsidRPr="008925CC">
        <w:rPr>
          <w:rFonts w:asciiTheme="minorEastAsia" w:hAnsiTheme="minorEastAsia" w:cs="Arial"/>
          <w:spacing w:val="-4"/>
          <w:sz w:val="20"/>
          <w:szCs w:val="20"/>
        </w:rPr>
        <w:t xml:space="preserve"> </w:t>
      </w:r>
      <w:proofErr w:type="spellStart"/>
      <w:r w:rsidRPr="008925CC">
        <w:rPr>
          <w:rFonts w:asciiTheme="minorEastAsia" w:hAnsiTheme="minorEastAsia" w:cs="Arial"/>
          <w:spacing w:val="-4"/>
          <w:sz w:val="20"/>
          <w:szCs w:val="20"/>
        </w:rPr>
        <w:t>Retrosynthesis</w:t>
      </w:r>
      <w:proofErr w:type="spellEnd"/>
      <w:r w:rsidRPr="008925CC">
        <w:rPr>
          <w:rFonts w:asciiTheme="minorEastAsia" w:hAnsiTheme="minorEastAsia" w:cs="Arial"/>
          <w:spacing w:val="-4"/>
          <w:sz w:val="20"/>
          <w:szCs w:val="20"/>
        </w:rPr>
        <w:t>：</w:t>
      </w:r>
      <w:r w:rsidRPr="008925CC">
        <w:rPr>
          <w:rFonts w:asciiTheme="minorEastAsia" w:hAnsiTheme="minorEastAsia" w:cs="Arial"/>
          <w:color w:val="1F1D1E"/>
          <w:sz w:val="20"/>
          <w:szCs w:val="20"/>
        </w:rPr>
        <w:t xml:space="preserve"> </w:t>
      </w:r>
      <w:r w:rsidRPr="008925CC">
        <w:rPr>
          <w:rFonts w:asciiTheme="minorEastAsia" w:hAnsiTheme="minorEastAsia" w:cs="Arial" w:hint="eastAsia"/>
          <w:sz w:val="20"/>
          <w:szCs w:val="20"/>
        </w:rPr>
        <w:t>AI支持的逆合成反应路线设计，启发对未知和已知化合物的合成路线设计，为</w:t>
      </w:r>
      <w:r w:rsidRPr="008925CC">
        <w:rPr>
          <w:rFonts w:asciiTheme="minorEastAsia" w:hAnsiTheme="minorEastAsia" w:cs="Arial"/>
          <w:color w:val="1F1D1E"/>
          <w:sz w:val="20"/>
          <w:szCs w:val="20"/>
        </w:rPr>
        <w:t>合成化学家提供新思路</w:t>
      </w:r>
      <w:r w:rsidRPr="008925CC">
        <w:rPr>
          <w:rFonts w:asciiTheme="minorEastAsia" w:hAnsiTheme="minorEastAsia" w:cs="Arial" w:hint="eastAsia"/>
          <w:color w:val="1F1D1E"/>
          <w:sz w:val="20"/>
          <w:szCs w:val="20"/>
        </w:rPr>
        <w:t>，节约设计时间</w:t>
      </w:r>
      <w:r w:rsidRPr="008925CC">
        <w:rPr>
          <w:rFonts w:asciiTheme="minorEastAsia" w:hAnsiTheme="minorEastAsia" w:cs="Arial"/>
          <w:color w:val="1F1D1E"/>
          <w:sz w:val="20"/>
          <w:szCs w:val="20"/>
        </w:rPr>
        <w:t>。</w:t>
      </w:r>
    </w:p>
    <w:p w:rsidR="00284524" w:rsidRPr="008925CC" w:rsidRDefault="00284524" w:rsidP="00284524">
      <w:pPr>
        <w:pStyle w:val="a6"/>
        <w:numPr>
          <w:ilvl w:val="0"/>
          <w:numId w:val="1"/>
        </w:numPr>
        <w:tabs>
          <w:tab w:val="left" w:pos="270"/>
        </w:tabs>
        <w:adjustRightInd w:val="0"/>
        <w:snapToGrid w:val="0"/>
        <w:spacing w:line="360" w:lineRule="auto"/>
        <w:ind w:right="235"/>
      </w:pPr>
      <w:r w:rsidRPr="008925CC">
        <w:rPr>
          <w:rFonts w:asciiTheme="minorEastAsia" w:hAnsiTheme="minorEastAsia" w:cs="Arial" w:hint="eastAsia"/>
          <w:spacing w:val="-1"/>
          <w:sz w:val="20"/>
          <w:szCs w:val="20"/>
        </w:rPr>
        <w:t>CAS</w:t>
      </w:r>
      <w:r w:rsidRPr="008925CC">
        <w:rPr>
          <w:rFonts w:asciiTheme="minorEastAsia" w:hAnsiTheme="minorEastAsia" w:cs="Arial"/>
          <w:spacing w:val="-1"/>
          <w:sz w:val="20"/>
          <w:szCs w:val="20"/>
        </w:rPr>
        <w:t xml:space="preserve"> Synthetic</w:t>
      </w:r>
      <w:r w:rsidRPr="008925CC">
        <w:rPr>
          <w:rFonts w:asciiTheme="minorEastAsia" w:hAnsiTheme="minorEastAsia" w:cs="Arial"/>
          <w:spacing w:val="27"/>
          <w:sz w:val="20"/>
          <w:szCs w:val="20"/>
        </w:rPr>
        <w:t xml:space="preserve"> </w:t>
      </w:r>
      <w:r w:rsidRPr="008925CC">
        <w:rPr>
          <w:rFonts w:asciiTheme="minorEastAsia" w:hAnsiTheme="minorEastAsia" w:cs="Arial"/>
          <w:spacing w:val="-1"/>
          <w:sz w:val="20"/>
          <w:szCs w:val="20"/>
        </w:rPr>
        <w:t>Methods：</w:t>
      </w:r>
      <w:r w:rsidRPr="008925CC">
        <w:rPr>
          <w:rFonts w:asciiTheme="minorEastAsia" w:hAnsiTheme="minorEastAsia" w:cs="Arial" w:hint="eastAsia"/>
          <w:sz w:val="20"/>
          <w:szCs w:val="20"/>
        </w:rPr>
        <w:t>获取可直接用于实操的合成方法，</w:t>
      </w:r>
      <w:r w:rsidRPr="008925CC">
        <w:rPr>
          <w:rFonts w:cstheme="minorHAnsi"/>
          <w:sz w:val="20"/>
          <w:szCs w:val="20"/>
        </w:rPr>
        <w:t>以易于阅读的表格形式展示实验详情</w:t>
      </w:r>
      <w:r w:rsidRPr="008925CC">
        <w:rPr>
          <w:rFonts w:asciiTheme="minorEastAsia" w:hAnsiTheme="minorEastAsia" w:cs="Arial" w:hint="eastAsia"/>
          <w:sz w:val="20"/>
          <w:szCs w:val="20"/>
        </w:rPr>
        <w:t>，</w:t>
      </w:r>
      <w:r w:rsidRPr="008925CC">
        <w:rPr>
          <w:rFonts w:cstheme="minorHAnsi"/>
          <w:sz w:val="20"/>
          <w:szCs w:val="20"/>
        </w:rPr>
        <w:t>提供合成方法的每步详细操作信息</w:t>
      </w:r>
      <w:r w:rsidRPr="008925CC">
        <w:rPr>
          <w:rFonts w:cstheme="minorHAnsi" w:hint="eastAsia"/>
          <w:sz w:val="20"/>
          <w:szCs w:val="20"/>
        </w:rPr>
        <w:t>，</w:t>
      </w:r>
      <w:r w:rsidRPr="008925CC">
        <w:rPr>
          <w:rFonts w:asciiTheme="minorEastAsia" w:hAnsiTheme="minorEastAsia" w:cs="Arial" w:hint="eastAsia"/>
          <w:sz w:val="20"/>
          <w:szCs w:val="20"/>
        </w:rPr>
        <w:t xml:space="preserve">节省查阅全文及梳理的时间。 </w:t>
      </w:r>
    </w:p>
    <w:p w:rsidR="00284524" w:rsidRPr="008925CC" w:rsidRDefault="00284524" w:rsidP="00284524">
      <w:pPr>
        <w:pStyle w:val="a6"/>
        <w:numPr>
          <w:ilvl w:val="0"/>
          <w:numId w:val="1"/>
        </w:numPr>
        <w:tabs>
          <w:tab w:val="left" w:pos="270"/>
        </w:tabs>
        <w:adjustRightInd w:val="0"/>
        <w:snapToGrid w:val="0"/>
        <w:spacing w:line="360" w:lineRule="auto"/>
        <w:ind w:right="235"/>
      </w:pPr>
      <w:r w:rsidRPr="008925CC">
        <w:rPr>
          <w:rFonts w:asciiTheme="minorEastAsia" w:hAnsiTheme="minorEastAsia" w:cs="Times New Roman" w:hint="eastAsia"/>
          <w:spacing w:val="-10"/>
          <w:sz w:val="20"/>
          <w:szCs w:val="20"/>
        </w:rPr>
        <w:t>CAS Analytical Methods：</w:t>
      </w:r>
      <w:r w:rsidRPr="008925CC">
        <w:rPr>
          <w:rFonts w:asciiTheme="minorEastAsia" w:hAnsiTheme="minorEastAsia" w:cs="Arial"/>
          <w:sz w:val="20"/>
          <w:szCs w:val="20"/>
        </w:rPr>
        <w:t>轻松获取</w:t>
      </w:r>
      <w:r w:rsidRPr="008925CC">
        <w:rPr>
          <w:rFonts w:asciiTheme="minorEastAsia" w:hAnsiTheme="minorEastAsia" w:cs="Arial" w:hint="eastAsia"/>
          <w:sz w:val="20"/>
          <w:szCs w:val="20"/>
        </w:rPr>
        <w:t>分析</w:t>
      </w:r>
      <w:r w:rsidRPr="008925CC">
        <w:rPr>
          <w:rFonts w:asciiTheme="minorEastAsia" w:hAnsiTheme="minorEastAsia" w:cs="Arial"/>
          <w:sz w:val="20"/>
          <w:szCs w:val="20"/>
        </w:rPr>
        <w:t>方法详情</w:t>
      </w:r>
      <w:r w:rsidRPr="008925CC">
        <w:rPr>
          <w:rFonts w:asciiTheme="minorEastAsia" w:hAnsiTheme="minorEastAsia" w:cs="Arial" w:hint="eastAsia"/>
          <w:sz w:val="20"/>
          <w:szCs w:val="20"/>
        </w:rPr>
        <w:t>，以表格化的形式展示实验</w:t>
      </w:r>
      <w:r w:rsidRPr="008925CC">
        <w:rPr>
          <w:rFonts w:asciiTheme="minorEastAsia" w:hAnsiTheme="minorEastAsia" w:cs="Arial"/>
          <w:sz w:val="20"/>
          <w:szCs w:val="20"/>
        </w:rPr>
        <w:t>材料、仪器</w:t>
      </w:r>
      <w:r w:rsidRPr="008925CC">
        <w:rPr>
          <w:rFonts w:asciiTheme="minorEastAsia" w:hAnsiTheme="minorEastAsia" w:cs="Arial" w:hint="eastAsia"/>
          <w:sz w:val="20"/>
          <w:szCs w:val="20"/>
        </w:rPr>
        <w:t>、</w:t>
      </w:r>
      <w:r w:rsidRPr="008925CC">
        <w:rPr>
          <w:rFonts w:asciiTheme="minorEastAsia" w:hAnsiTheme="minorEastAsia" w:cs="Arial"/>
          <w:sz w:val="20"/>
          <w:szCs w:val="20"/>
        </w:rPr>
        <w:t>条件</w:t>
      </w:r>
      <w:r w:rsidRPr="008925CC">
        <w:rPr>
          <w:rFonts w:asciiTheme="minorEastAsia" w:hAnsiTheme="minorEastAsia" w:cs="Arial" w:hint="eastAsia"/>
          <w:sz w:val="20"/>
          <w:szCs w:val="20"/>
        </w:rPr>
        <w:t>和操作步骤</w:t>
      </w:r>
      <w:r w:rsidRPr="008925CC">
        <w:rPr>
          <w:rFonts w:asciiTheme="minorEastAsia" w:hAnsiTheme="minorEastAsia" w:cs="Arial"/>
          <w:sz w:val="20"/>
          <w:szCs w:val="20"/>
        </w:rPr>
        <w:t>等信息</w:t>
      </w:r>
      <w:r w:rsidRPr="008925CC">
        <w:rPr>
          <w:rFonts w:asciiTheme="minorEastAsia" w:hAnsiTheme="minorEastAsia" w:cs="Arial" w:hint="eastAsia"/>
          <w:sz w:val="20"/>
          <w:szCs w:val="20"/>
        </w:rPr>
        <w:t>，支持一键对比不同分析方法的差异和适用性。</w:t>
      </w:r>
    </w:p>
    <w:p w:rsidR="00284524" w:rsidRPr="008925CC" w:rsidRDefault="00284524" w:rsidP="00284524">
      <w:pPr>
        <w:pStyle w:val="a6"/>
        <w:numPr>
          <w:ilvl w:val="0"/>
          <w:numId w:val="1"/>
        </w:numPr>
        <w:tabs>
          <w:tab w:val="left" w:pos="270"/>
        </w:tabs>
        <w:adjustRightInd w:val="0"/>
        <w:snapToGrid w:val="0"/>
        <w:spacing w:line="360" w:lineRule="auto"/>
        <w:ind w:right="235"/>
      </w:pPr>
      <w:r w:rsidRPr="008925CC">
        <w:rPr>
          <w:rFonts w:asciiTheme="minorEastAsia" w:hAnsiTheme="minorEastAsia" w:cs="Times New Roman"/>
          <w:spacing w:val="-10"/>
          <w:sz w:val="20"/>
          <w:szCs w:val="20"/>
        </w:rPr>
        <w:t>CAS</w:t>
      </w:r>
      <w:r w:rsidRPr="008925CC">
        <w:rPr>
          <w:rFonts w:asciiTheme="minorEastAsia" w:hAnsiTheme="minorEastAsia" w:cs="Times New Roman" w:hint="eastAsia"/>
          <w:spacing w:val="-10"/>
          <w:sz w:val="20"/>
          <w:szCs w:val="20"/>
        </w:rPr>
        <w:t xml:space="preserve"> </w:t>
      </w:r>
      <w:proofErr w:type="spellStart"/>
      <w:r w:rsidRPr="008925CC">
        <w:rPr>
          <w:rFonts w:asciiTheme="minorEastAsia" w:hAnsiTheme="minorEastAsia" w:cs="Times New Roman" w:hint="eastAsia"/>
          <w:spacing w:val="-10"/>
          <w:sz w:val="20"/>
          <w:szCs w:val="20"/>
        </w:rPr>
        <w:t>Biosequences</w:t>
      </w:r>
      <w:proofErr w:type="spellEnd"/>
      <w:r w:rsidRPr="008925CC">
        <w:rPr>
          <w:rFonts w:asciiTheme="minorEastAsia" w:hAnsiTheme="minorEastAsia" w:cs="Times New Roman" w:hint="eastAsia"/>
          <w:spacing w:val="-10"/>
          <w:sz w:val="20"/>
          <w:szCs w:val="20"/>
        </w:rPr>
        <w:t>：包括C</w:t>
      </w:r>
      <w:r w:rsidRPr="008925CC">
        <w:rPr>
          <w:rFonts w:asciiTheme="minorEastAsia" w:hAnsiTheme="minorEastAsia" w:cs="Times New Roman"/>
          <w:spacing w:val="-10"/>
          <w:sz w:val="20"/>
          <w:szCs w:val="20"/>
        </w:rPr>
        <w:t>AS</w:t>
      </w:r>
      <w:r w:rsidRPr="008925CC">
        <w:rPr>
          <w:rFonts w:asciiTheme="minorEastAsia" w:hAnsiTheme="minorEastAsia" w:cs="Times New Roman" w:hint="eastAsia"/>
          <w:spacing w:val="-10"/>
          <w:sz w:val="20"/>
          <w:szCs w:val="20"/>
        </w:rPr>
        <w:t>及来自NCBI中的序列信息，支持BLAST, CDR和Motif多种生物序列检索功能，</w:t>
      </w:r>
      <w:r w:rsidRPr="008925CC">
        <w:rPr>
          <w:rFonts w:asciiTheme="minorEastAsia" w:hAnsiTheme="minorEastAsia" w:cs="Times New Roman"/>
          <w:spacing w:val="-10"/>
          <w:sz w:val="20"/>
          <w:szCs w:val="20"/>
        </w:rPr>
        <w:t>可进行FTO检索</w:t>
      </w:r>
      <w:r w:rsidRPr="008925CC">
        <w:rPr>
          <w:rFonts w:asciiTheme="minorEastAsia" w:hAnsiTheme="minorEastAsia" w:cs="Times New Roman" w:hint="eastAsia"/>
          <w:spacing w:val="-10"/>
          <w:sz w:val="20"/>
          <w:szCs w:val="20"/>
        </w:rPr>
        <w:t>、侵权检索。</w:t>
      </w:r>
      <w:r w:rsidRPr="008925CC">
        <w:rPr>
          <w:rFonts w:asciiTheme="minorEastAsia" w:hAnsiTheme="minorEastAsia" w:cs="Arial" w:hint="eastAsia"/>
          <w:color w:val="1F1D1E"/>
          <w:sz w:val="20"/>
          <w:szCs w:val="20"/>
        </w:rPr>
        <w:t xml:space="preserve"> </w:t>
      </w:r>
      <w:r w:rsidRPr="008925CC">
        <w:rPr>
          <w:rFonts w:asciiTheme="minorEastAsia" w:hAnsiTheme="minorEastAsia" w:cs="Arial"/>
          <w:color w:val="1F1D1E"/>
          <w:sz w:val="20"/>
          <w:szCs w:val="20"/>
        </w:rPr>
        <w:t xml:space="preserve">        </w:t>
      </w:r>
    </w:p>
    <w:p w:rsidR="00284524" w:rsidRPr="00246B2A" w:rsidRDefault="00284524" w:rsidP="00284524">
      <w:pPr>
        <w:pStyle w:val="a6"/>
        <w:numPr>
          <w:ilvl w:val="0"/>
          <w:numId w:val="1"/>
        </w:numPr>
        <w:tabs>
          <w:tab w:val="left" w:pos="270"/>
        </w:tabs>
        <w:adjustRightInd w:val="0"/>
        <w:snapToGrid w:val="0"/>
        <w:spacing w:line="360" w:lineRule="auto"/>
        <w:ind w:right="235"/>
      </w:pPr>
      <w:r w:rsidRPr="008925CC">
        <w:rPr>
          <w:rFonts w:asciiTheme="minorEastAsia" w:hAnsiTheme="minorEastAsia" w:cs="Arial"/>
          <w:spacing w:val="-1"/>
          <w:sz w:val="20"/>
          <w:szCs w:val="20"/>
        </w:rPr>
        <w:t>CAS</w:t>
      </w:r>
      <w:r w:rsidRPr="008925CC">
        <w:rPr>
          <w:rFonts w:asciiTheme="minorEastAsia" w:hAnsiTheme="minorEastAsia" w:cs="Arial"/>
          <w:spacing w:val="-3"/>
          <w:sz w:val="20"/>
          <w:szCs w:val="20"/>
        </w:rPr>
        <w:t xml:space="preserve"> </w:t>
      </w:r>
      <w:proofErr w:type="spellStart"/>
      <w:r w:rsidRPr="008925CC">
        <w:rPr>
          <w:rFonts w:asciiTheme="minorEastAsia" w:hAnsiTheme="minorEastAsia" w:cs="Arial"/>
          <w:spacing w:val="-1"/>
          <w:sz w:val="20"/>
          <w:szCs w:val="20"/>
        </w:rPr>
        <w:t>PatentPak</w:t>
      </w:r>
      <w:proofErr w:type="spellEnd"/>
      <w:r w:rsidRPr="008925CC">
        <w:rPr>
          <w:rFonts w:asciiTheme="minorEastAsia" w:hAnsiTheme="minorEastAsia" w:cs="Arial"/>
          <w:spacing w:val="-1"/>
          <w:sz w:val="20"/>
          <w:szCs w:val="20"/>
          <w:vertAlign w:val="superscript"/>
        </w:rPr>
        <w:t>®</w:t>
      </w:r>
      <w:r w:rsidRPr="008925CC">
        <w:rPr>
          <w:rFonts w:asciiTheme="minorEastAsia" w:hAnsiTheme="minorEastAsia" w:cs="Arial" w:hint="eastAsia"/>
          <w:spacing w:val="-1"/>
          <w:sz w:val="20"/>
          <w:szCs w:val="20"/>
        </w:rPr>
        <w:t>：</w:t>
      </w:r>
      <w:r w:rsidRPr="008925CC">
        <w:rPr>
          <w:rFonts w:asciiTheme="minorEastAsia" w:hAnsiTheme="minorEastAsia" w:cs="Times New Roman" w:hint="eastAsia"/>
          <w:spacing w:val="-10"/>
          <w:sz w:val="20"/>
          <w:szCs w:val="20"/>
        </w:rPr>
        <w:t>高效获取专利全文，一键定位专利中难以发现或识别的重要物质，如复杂化学通式或表格中的重要化合物；并</w:t>
      </w:r>
      <w:r w:rsidRPr="008925CC">
        <w:rPr>
          <w:rFonts w:asciiTheme="minorEastAsia" w:hAnsiTheme="minorEastAsia" w:cs="Times New Roman"/>
          <w:spacing w:val="-10"/>
          <w:sz w:val="20"/>
          <w:szCs w:val="20"/>
        </w:rPr>
        <w:t>可直接下载带有CAS增值的物质位置标记信息、结构式等信息在内的专利全文（PDF文件）。</w:t>
      </w:r>
    </w:p>
    <w:p w:rsidR="00246B2A" w:rsidRPr="008925CC" w:rsidRDefault="00246B2A" w:rsidP="00246B2A">
      <w:pPr>
        <w:tabs>
          <w:tab w:val="left" w:pos="270"/>
        </w:tabs>
        <w:adjustRightInd w:val="0"/>
        <w:snapToGrid w:val="0"/>
        <w:spacing w:line="360" w:lineRule="auto"/>
        <w:ind w:right="235"/>
      </w:pPr>
    </w:p>
    <w:p w:rsidR="00246B2A" w:rsidRPr="00246B2A" w:rsidRDefault="00246B2A" w:rsidP="00246B2A">
      <w:pPr>
        <w:adjustRightInd w:val="0"/>
        <w:snapToGrid w:val="0"/>
        <w:spacing w:line="276" w:lineRule="auto"/>
        <w:rPr>
          <w:b/>
          <w:bCs/>
          <w:color w:val="0070C0"/>
        </w:rPr>
      </w:pPr>
      <w:r w:rsidRPr="00246B2A">
        <w:rPr>
          <w:rFonts w:hint="eastAsia"/>
          <w:b/>
          <w:bCs/>
          <w:color w:val="0070C0"/>
        </w:rPr>
        <w:t>访问方式</w:t>
      </w:r>
    </w:p>
    <w:p w:rsidR="00246B2A" w:rsidRPr="00246B2A" w:rsidRDefault="00246B2A" w:rsidP="00246B2A">
      <w:pPr>
        <w:adjustRightInd w:val="0"/>
        <w:snapToGrid w:val="0"/>
        <w:spacing w:line="276" w:lineRule="auto"/>
        <w:rPr>
          <w:rFonts w:cstheme="minorHAnsi"/>
          <w:color w:val="000000" w:themeColor="text1"/>
        </w:rPr>
      </w:pPr>
      <w:r w:rsidRPr="00246B2A">
        <w:rPr>
          <w:rFonts w:asciiTheme="minorEastAsia" w:hAnsiTheme="minorEastAsia" w:cs="Arial"/>
          <w:sz w:val="20"/>
          <w:szCs w:val="20"/>
          <w:lang w:val="es-ES"/>
        </w:rPr>
        <w:t>采用网页方式</w:t>
      </w:r>
      <w:r w:rsidRPr="00246B2A">
        <w:rPr>
          <w:rFonts w:asciiTheme="minorEastAsia" w:hAnsiTheme="minorEastAsia" w:cs="Arial" w:hint="eastAsia"/>
          <w:sz w:val="20"/>
          <w:szCs w:val="20"/>
          <w:lang w:val="es-ES"/>
        </w:rPr>
        <w:t>，IP地址+用户名+密码登录，</w:t>
      </w:r>
      <w:r w:rsidRPr="00246B2A">
        <w:rPr>
          <w:rFonts w:asciiTheme="minorEastAsia" w:hAnsiTheme="minorEastAsia" w:cs="Arial" w:hint="eastAsia"/>
          <w:b/>
          <w:bCs/>
          <w:sz w:val="24"/>
          <w:szCs w:val="24"/>
          <w:lang w:val="es-ES"/>
        </w:rPr>
        <w:t>无并发用户限制</w:t>
      </w:r>
      <w:r w:rsidRPr="00246B2A">
        <w:rPr>
          <w:rFonts w:asciiTheme="minorEastAsia" w:hAnsiTheme="minorEastAsia" w:cs="Arial"/>
          <w:sz w:val="20"/>
          <w:szCs w:val="20"/>
          <w:lang w:val="es-ES"/>
        </w:rPr>
        <w:t>。</w:t>
      </w:r>
      <w:r w:rsidRPr="00246B2A">
        <w:rPr>
          <w:rFonts w:asciiTheme="minorEastAsia" w:hAnsiTheme="minorEastAsia" w:cs="Arial" w:hint="eastAsia"/>
          <w:sz w:val="20"/>
          <w:szCs w:val="20"/>
          <w:lang w:val="es-ES"/>
        </w:rPr>
        <w:t>登录账号注册须知详见校图书馆资源导航：</w:t>
      </w:r>
      <w:hyperlink r:id="rId9" w:history="1">
        <w:r w:rsidRPr="00246B2A">
          <w:rPr>
            <w:rStyle w:val="a7"/>
            <w:rFonts w:cstheme="minorHAnsi"/>
          </w:rPr>
          <w:t>http://202.115.54.96/resource/resourcedetail/1315</w:t>
        </w:r>
      </w:hyperlink>
    </w:p>
    <w:p w:rsidR="00246B2A" w:rsidRPr="00246B2A" w:rsidRDefault="00246B2A" w:rsidP="00246B2A">
      <w:pPr>
        <w:spacing w:line="276" w:lineRule="auto"/>
        <w:rPr>
          <w:b/>
          <w:bCs/>
          <w:color w:val="244061" w:themeColor="accent1" w:themeShade="80"/>
        </w:rPr>
      </w:pPr>
    </w:p>
    <w:p w:rsidR="00246B2A" w:rsidRPr="00246B2A" w:rsidRDefault="00246B2A" w:rsidP="00246B2A">
      <w:pPr>
        <w:spacing w:line="276" w:lineRule="auto"/>
        <w:rPr>
          <w:b/>
          <w:bCs/>
          <w:color w:val="0070C0"/>
        </w:rPr>
      </w:pPr>
      <w:r w:rsidRPr="00246B2A">
        <w:rPr>
          <w:b/>
          <w:bCs/>
          <w:color w:val="0070C0"/>
        </w:rPr>
        <w:t>培训资源</w:t>
      </w:r>
    </w:p>
    <w:p w:rsidR="00246B2A" w:rsidRPr="00246B2A" w:rsidRDefault="00246B2A" w:rsidP="00246B2A">
      <w:pPr>
        <w:spacing w:line="276" w:lineRule="auto"/>
        <w:rPr>
          <w:rFonts w:ascii="Arial" w:hAnsi="Arial" w:cs="Arial"/>
          <w:sz w:val="20"/>
          <w:szCs w:val="20"/>
        </w:rPr>
      </w:pPr>
      <w:r w:rsidRPr="00246B2A">
        <w:rPr>
          <w:rFonts w:ascii="Arial" w:hAnsi="Arial" w:cs="Arial" w:hint="eastAsia"/>
          <w:sz w:val="20"/>
          <w:szCs w:val="20"/>
        </w:rPr>
        <w:t>更多丰富的培训资料和视频资源供你参考，助你快速入门各种检索功能、迅速解锁检索技巧。</w:t>
      </w:r>
    </w:p>
    <w:p w:rsidR="00246B2A" w:rsidRPr="00246B2A" w:rsidRDefault="00246B2A" w:rsidP="00246B2A">
      <w:pPr>
        <w:snapToGrid w:val="0"/>
        <w:spacing w:line="276" w:lineRule="auto"/>
        <w:jc w:val="left"/>
        <w:rPr>
          <w:rStyle w:val="a7"/>
          <w:rFonts w:ascii="DengXian" w:eastAsia="DengXian" w:hAnsi="DengXian"/>
          <w:lang w:val="es-ES"/>
        </w:rPr>
      </w:pPr>
      <w:r w:rsidRPr="00246B2A">
        <w:rPr>
          <w:rFonts w:ascii="DengXian" w:eastAsia="DengXian" w:hAnsi="DengXian"/>
          <w:b/>
          <w:bCs/>
          <w:color w:val="00B0F0"/>
          <w:lang w:val="es-ES"/>
        </w:rPr>
        <w:t>CAS SciFinder</w:t>
      </w:r>
      <w:r w:rsidRPr="00246B2A">
        <w:rPr>
          <w:rFonts w:ascii="Times New Roman" w:eastAsia="DengXian" w:hAnsi="Times New Roman" w:cs="Times New Roman"/>
          <w:b/>
          <w:bCs/>
          <w:color w:val="00B0F0"/>
          <w:lang w:val="es-ES"/>
        </w:rPr>
        <w:t>ⁿ</w:t>
      </w:r>
      <w:r w:rsidRPr="00246B2A">
        <w:rPr>
          <w:rFonts w:ascii="DengXian" w:eastAsia="DengXian" w:hAnsi="DengXian" w:hint="eastAsia"/>
          <w:b/>
          <w:bCs/>
          <w:color w:val="00B0F0"/>
        </w:rPr>
        <w:t>学习中心</w:t>
      </w:r>
      <w:r w:rsidRPr="00246B2A">
        <w:rPr>
          <w:rFonts w:ascii="DengXian" w:eastAsia="DengXian" w:hAnsi="DengXian" w:hint="eastAsia"/>
          <w:b/>
          <w:bCs/>
          <w:color w:val="00B0F0"/>
          <w:lang w:val="es-ES"/>
        </w:rPr>
        <w:t>：</w:t>
      </w:r>
      <w:hyperlink r:id="rId10" w:history="1">
        <w:r w:rsidRPr="00246B2A">
          <w:rPr>
            <w:rStyle w:val="a7"/>
            <w:rFonts w:ascii="DengXian" w:eastAsia="DengXian" w:hAnsi="DengXian"/>
            <w:lang w:val="es-ES"/>
          </w:rPr>
          <w:t>https://appxbvmxub81346.h5.xiaoeknow.com/p/decorate/page/eyJpZCI6IjMzMTk4ODAifQ</w:t>
        </w:r>
      </w:hyperlink>
    </w:p>
    <w:p w:rsidR="00246B2A" w:rsidRPr="00246B2A" w:rsidRDefault="00246B2A" w:rsidP="00246B2A">
      <w:pPr>
        <w:snapToGrid w:val="0"/>
        <w:spacing w:line="276" w:lineRule="auto"/>
        <w:jc w:val="left"/>
        <w:rPr>
          <w:rFonts w:ascii="DengXian" w:eastAsia="DengXian" w:hAnsi="DengXian"/>
          <w:b/>
          <w:bCs/>
          <w:color w:val="00B0F0"/>
          <w:lang w:val="es-ES"/>
        </w:rPr>
      </w:pPr>
      <w:r w:rsidRPr="00246B2A">
        <w:rPr>
          <w:rFonts w:ascii="DengXian" w:eastAsia="DengXian" w:hAnsi="DengXian"/>
          <w:b/>
          <w:bCs/>
          <w:color w:val="00B0F0"/>
          <w:lang w:val="es-ES"/>
        </w:rPr>
        <w:t>2022 CAS SciFinder</w:t>
      </w:r>
      <w:r w:rsidRPr="00246B2A">
        <w:rPr>
          <w:rFonts w:ascii="Times New Roman" w:eastAsia="DengXian" w:hAnsi="Times New Roman" w:cs="Times New Roman"/>
          <w:b/>
          <w:bCs/>
          <w:color w:val="00B0F0"/>
          <w:lang w:val="es-ES"/>
        </w:rPr>
        <w:t>ⁿ</w:t>
      </w:r>
      <w:r w:rsidRPr="00246B2A">
        <w:rPr>
          <w:rFonts w:ascii="DengXian" w:eastAsia="DengXian" w:hAnsi="DengXian" w:hint="eastAsia"/>
          <w:b/>
          <w:bCs/>
          <w:color w:val="00B0F0"/>
        </w:rPr>
        <w:t>论坛回放合集</w:t>
      </w:r>
      <w:r w:rsidRPr="00246B2A">
        <w:rPr>
          <w:rFonts w:ascii="DengXian" w:eastAsia="DengXian" w:hAnsi="DengXian" w:hint="eastAsia"/>
          <w:b/>
          <w:bCs/>
          <w:color w:val="00B0F0"/>
          <w:lang w:val="es-ES"/>
        </w:rPr>
        <w:t>：</w:t>
      </w:r>
      <w:hyperlink r:id="rId11" w:history="1">
        <w:r w:rsidRPr="00246B2A">
          <w:rPr>
            <w:rStyle w:val="a7"/>
            <w:rFonts w:ascii="DengXian" w:eastAsia="DengXian" w:hAnsi="DengXian"/>
            <w:lang w:val="es-ES"/>
          </w:rPr>
          <w:t>https://mp.weixin.qq.com/s/adRyseIvH9gbOtvuOXhweQ</w:t>
        </w:r>
      </w:hyperlink>
    </w:p>
    <w:p w:rsidR="00246B2A" w:rsidRPr="00246B2A" w:rsidRDefault="00246B2A" w:rsidP="00246B2A">
      <w:pPr>
        <w:snapToGrid w:val="0"/>
        <w:spacing w:line="276" w:lineRule="auto"/>
        <w:rPr>
          <w:rFonts w:ascii="DengXian" w:eastAsia="DengXian" w:hAnsi="DengXian"/>
          <w:color w:val="000000"/>
          <w:lang w:val="es-ES"/>
        </w:rPr>
      </w:pPr>
      <w:r>
        <w:rPr>
          <w:noProof/>
        </w:rPr>
        <w:lastRenderedPageBreak/>
        <w:drawing>
          <wp:inline distT="0" distB="0" distL="0" distR="0" wp14:anchorId="43815E3D" wp14:editId="5509201A">
            <wp:extent cx="1379764" cy="13797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286" cy="138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DB2" w:rsidRPr="007C6DB2" w:rsidRDefault="007C6DB2" w:rsidP="00246B2A">
      <w:pPr>
        <w:rPr>
          <w:b/>
        </w:rPr>
      </w:pPr>
    </w:p>
    <w:sectPr w:rsidR="007C6DB2" w:rsidRPr="007C6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44" w:rsidRDefault="00992D44" w:rsidP="007C3B4F">
      <w:r>
        <w:separator/>
      </w:r>
    </w:p>
  </w:endnote>
  <w:endnote w:type="continuationSeparator" w:id="0">
    <w:p w:rsidR="00992D44" w:rsidRDefault="00992D44" w:rsidP="007C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44" w:rsidRDefault="00992D44" w:rsidP="007C3B4F">
      <w:r>
        <w:separator/>
      </w:r>
    </w:p>
  </w:footnote>
  <w:footnote w:type="continuationSeparator" w:id="0">
    <w:p w:rsidR="00992D44" w:rsidRDefault="00992D44" w:rsidP="007C3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804C5"/>
    <w:multiLevelType w:val="hybridMultilevel"/>
    <w:tmpl w:val="ECC049BE"/>
    <w:lvl w:ilvl="0" w:tplc="3F028B3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3BC83D0">
      <w:numFmt w:val="bullet"/>
      <w:lvlText w:val="•"/>
      <w:lvlJc w:val="left"/>
      <w:pPr>
        <w:ind w:left="1110" w:hanging="360"/>
      </w:pPr>
      <w:rPr>
        <w:rFonts w:hint="default"/>
        <w:lang w:val="en-US" w:eastAsia="en-US" w:bidi="ar-SA"/>
      </w:rPr>
    </w:lvl>
    <w:lvl w:ilvl="2" w:tplc="6548D9B8">
      <w:numFmt w:val="bullet"/>
      <w:lvlText w:val="•"/>
      <w:lvlJc w:val="left"/>
      <w:pPr>
        <w:ind w:left="1861" w:hanging="360"/>
      </w:pPr>
      <w:rPr>
        <w:rFonts w:hint="default"/>
        <w:lang w:val="en-US" w:eastAsia="en-US" w:bidi="ar-SA"/>
      </w:rPr>
    </w:lvl>
    <w:lvl w:ilvl="3" w:tplc="E6086534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4" w:tplc="F52430E6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5" w:tplc="5DE822FC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6" w:tplc="96E8AFA0">
      <w:numFmt w:val="bullet"/>
      <w:lvlText w:val="•"/>
      <w:lvlJc w:val="left"/>
      <w:pPr>
        <w:ind w:left="4863" w:hanging="360"/>
      </w:pPr>
      <w:rPr>
        <w:rFonts w:hint="default"/>
        <w:lang w:val="en-US" w:eastAsia="en-US" w:bidi="ar-SA"/>
      </w:rPr>
    </w:lvl>
    <w:lvl w:ilvl="7" w:tplc="11F8C32A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8" w:tplc="D27A53AA">
      <w:numFmt w:val="bullet"/>
      <w:lvlText w:val="•"/>
      <w:lvlJc w:val="left"/>
      <w:pPr>
        <w:ind w:left="636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B2"/>
    <w:rsid w:val="00085636"/>
    <w:rsid w:val="00246B2A"/>
    <w:rsid w:val="00284524"/>
    <w:rsid w:val="007C3B4F"/>
    <w:rsid w:val="007C6DB2"/>
    <w:rsid w:val="0091033A"/>
    <w:rsid w:val="0099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D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C6DB2"/>
    <w:rPr>
      <w:b/>
      <w:bCs/>
    </w:rPr>
  </w:style>
  <w:style w:type="paragraph" w:styleId="a5">
    <w:name w:val="Body Text"/>
    <w:basedOn w:val="a"/>
    <w:link w:val="Char"/>
    <w:uiPriority w:val="1"/>
    <w:unhideWhenUsed/>
    <w:rsid w:val="00284524"/>
    <w:pPr>
      <w:widowControl/>
      <w:ind w:left="1198"/>
      <w:jc w:val="left"/>
    </w:pPr>
    <w:rPr>
      <w:rFonts w:ascii="Times New Roman" w:hAnsi="Times New Roman" w:cs="Times New Roman"/>
      <w:kern w:val="0"/>
      <w:szCs w:val="21"/>
      <w:lang w:eastAsia="en-US"/>
    </w:rPr>
  </w:style>
  <w:style w:type="character" w:customStyle="1" w:styleId="Char">
    <w:name w:val="正文文本 Char"/>
    <w:basedOn w:val="a0"/>
    <w:link w:val="a5"/>
    <w:uiPriority w:val="1"/>
    <w:rsid w:val="00284524"/>
    <w:rPr>
      <w:rFonts w:ascii="Times New Roman" w:hAnsi="Times New Roman" w:cs="Times New Roman"/>
      <w:kern w:val="0"/>
      <w:szCs w:val="21"/>
      <w:lang w:eastAsia="en-US"/>
    </w:rPr>
  </w:style>
  <w:style w:type="paragraph" w:styleId="a6">
    <w:name w:val="List Paragraph"/>
    <w:basedOn w:val="a"/>
    <w:uiPriority w:val="1"/>
    <w:qFormat/>
    <w:rsid w:val="00284524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character" w:styleId="a7">
    <w:name w:val="Hyperlink"/>
    <w:basedOn w:val="a0"/>
    <w:uiPriority w:val="99"/>
    <w:unhideWhenUsed/>
    <w:rsid w:val="00246B2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46B2A"/>
    <w:rPr>
      <w:color w:val="800080" w:themeColor="followedHyperlink"/>
      <w:u w:val="single"/>
    </w:rPr>
  </w:style>
  <w:style w:type="paragraph" w:styleId="a9">
    <w:name w:val="Balloon Text"/>
    <w:basedOn w:val="a"/>
    <w:link w:val="Char0"/>
    <w:uiPriority w:val="99"/>
    <w:semiHidden/>
    <w:unhideWhenUsed/>
    <w:rsid w:val="00246B2A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246B2A"/>
    <w:rPr>
      <w:sz w:val="18"/>
      <w:szCs w:val="18"/>
    </w:rPr>
  </w:style>
  <w:style w:type="paragraph" w:styleId="aa">
    <w:name w:val="header"/>
    <w:basedOn w:val="a"/>
    <w:link w:val="Char1"/>
    <w:uiPriority w:val="99"/>
    <w:unhideWhenUsed/>
    <w:rsid w:val="007C3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7C3B4F"/>
    <w:rPr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7C3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7C3B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D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C6DB2"/>
    <w:rPr>
      <w:b/>
      <w:bCs/>
    </w:rPr>
  </w:style>
  <w:style w:type="paragraph" w:styleId="a5">
    <w:name w:val="Body Text"/>
    <w:basedOn w:val="a"/>
    <w:link w:val="Char"/>
    <w:uiPriority w:val="1"/>
    <w:unhideWhenUsed/>
    <w:rsid w:val="00284524"/>
    <w:pPr>
      <w:widowControl/>
      <w:ind w:left="1198"/>
      <w:jc w:val="left"/>
    </w:pPr>
    <w:rPr>
      <w:rFonts w:ascii="Times New Roman" w:hAnsi="Times New Roman" w:cs="Times New Roman"/>
      <w:kern w:val="0"/>
      <w:szCs w:val="21"/>
      <w:lang w:eastAsia="en-US"/>
    </w:rPr>
  </w:style>
  <w:style w:type="character" w:customStyle="1" w:styleId="Char">
    <w:name w:val="正文文本 Char"/>
    <w:basedOn w:val="a0"/>
    <w:link w:val="a5"/>
    <w:uiPriority w:val="1"/>
    <w:rsid w:val="00284524"/>
    <w:rPr>
      <w:rFonts w:ascii="Times New Roman" w:hAnsi="Times New Roman" w:cs="Times New Roman"/>
      <w:kern w:val="0"/>
      <w:szCs w:val="21"/>
      <w:lang w:eastAsia="en-US"/>
    </w:rPr>
  </w:style>
  <w:style w:type="paragraph" w:styleId="a6">
    <w:name w:val="List Paragraph"/>
    <w:basedOn w:val="a"/>
    <w:uiPriority w:val="1"/>
    <w:qFormat/>
    <w:rsid w:val="00284524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character" w:styleId="a7">
    <w:name w:val="Hyperlink"/>
    <w:basedOn w:val="a0"/>
    <w:uiPriority w:val="99"/>
    <w:unhideWhenUsed/>
    <w:rsid w:val="00246B2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46B2A"/>
    <w:rPr>
      <w:color w:val="800080" w:themeColor="followedHyperlink"/>
      <w:u w:val="single"/>
    </w:rPr>
  </w:style>
  <w:style w:type="paragraph" w:styleId="a9">
    <w:name w:val="Balloon Text"/>
    <w:basedOn w:val="a"/>
    <w:link w:val="Char0"/>
    <w:uiPriority w:val="99"/>
    <w:semiHidden/>
    <w:unhideWhenUsed/>
    <w:rsid w:val="00246B2A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246B2A"/>
    <w:rPr>
      <w:sz w:val="18"/>
      <w:szCs w:val="18"/>
    </w:rPr>
  </w:style>
  <w:style w:type="paragraph" w:styleId="aa">
    <w:name w:val="header"/>
    <w:basedOn w:val="a"/>
    <w:link w:val="Char1"/>
    <w:uiPriority w:val="99"/>
    <w:unhideWhenUsed/>
    <w:rsid w:val="007C3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7C3B4F"/>
    <w:rPr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7C3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7C3B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p.weixin.qq.com/s/adRyseIvH9gbOtvuOXhwe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xbvmxub81346.h5.xiaoeknow.com/p/decorate/page/eyJpZCI6IjMzMTk4ODAif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02.115.54.96/resource/resourcedetail/13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Lib-WL</dc:creator>
  <cp:lastModifiedBy>Lib-WL</cp:lastModifiedBy>
  <cp:revision>2</cp:revision>
  <dcterms:created xsi:type="dcterms:W3CDTF">2023-03-27T08:01:00Z</dcterms:created>
  <dcterms:modified xsi:type="dcterms:W3CDTF">2023-03-27T08:01:00Z</dcterms:modified>
</cp:coreProperties>
</file>